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4BCD" w14:textId="565FCFB5" w:rsidR="00A74916" w:rsidRPr="00A74916" w:rsidRDefault="00A74916" w:rsidP="00A74916">
      <w:pPr>
        <w:spacing w:before="120" w:after="120"/>
        <w:jc w:val="center"/>
        <w:rPr>
          <w:b/>
          <w:bCs/>
          <w:sz w:val="40"/>
          <w:szCs w:val="40"/>
          <w:u w:val="single"/>
        </w:rPr>
      </w:pPr>
      <w:r w:rsidRPr="00A74916">
        <w:rPr>
          <w:b/>
          <w:bCs/>
          <w:sz w:val="40"/>
          <w:szCs w:val="40"/>
          <w:u w:val="single"/>
        </w:rPr>
        <w:t>Supplier Code of Conduct</w:t>
      </w:r>
    </w:p>
    <w:p w14:paraId="34094240" w14:textId="2A2D0750" w:rsidR="00B732C4" w:rsidRPr="002A49B4" w:rsidRDefault="001B4ED0" w:rsidP="0026440D">
      <w:pPr>
        <w:spacing w:before="120" w:after="120"/>
        <w:rPr>
          <w:b/>
          <w:bCs/>
          <w:sz w:val="28"/>
          <w:szCs w:val="28"/>
          <w:u w:val="single"/>
        </w:rPr>
      </w:pPr>
      <w:r w:rsidRPr="002A49B4">
        <w:rPr>
          <w:b/>
          <w:bCs/>
          <w:sz w:val="28"/>
          <w:szCs w:val="28"/>
          <w:u w:val="single"/>
        </w:rPr>
        <w:t xml:space="preserve">Overview </w:t>
      </w:r>
    </w:p>
    <w:p w14:paraId="560D3609" w14:textId="2B3FB80B" w:rsidR="000713DB" w:rsidRDefault="009A0B03" w:rsidP="0026440D">
      <w:pPr>
        <w:spacing w:before="120" w:after="120"/>
      </w:pPr>
      <w:r>
        <w:t>CentroMotion</w:t>
      </w:r>
      <w:r w:rsidR="001B4ED0">
        <w:t xml:space="preserve"> </w:t>
      </w:r>
      <w:r w:rsidR="00B732C4">
        <w:t>(</w:t>
      </w:r>
      <w:r w:rsidR="00EF1D52">
        <w:t>p</w:t>
      </w:r>
      <w:r w:rsidR="00B732C4">
        <w:t xml:space="preserve">arent company of </w:t>
      </w:r>
      <w:proofErr w:type="spellStart"/>
      <w:r w:rsidR="00B732C4">
        <w:t>CrossControl</w:t>
      </w:r>
      <w:proofErr w:type="spellEnd"/>
      <w:r w:rsidR="00B732C4">
        <w:t xml:space="preserve">, </w:t>
      </w:r>
      <w:proofErr w:type="spellStart"/>
      <w:r w:rsidR="00B732C4">
        <w:t>Weasler</w:t>
      </w:r>
      <w:proofErr w:type="spellEnd"/>
      <w:r w:rsidR="00B732C4">
        <w:t xml:space="preserve"> Engineering, </w:t>
      </w:r>
      <w:proofErr w:type="spellStart"/>
      <w:r w:rsidR="00B732C4">
        <w:t>PowerPacker</w:t>
      </w:r>
      <w:proofErr w:type="spellEnd"/>
      <w:r w:rsidR="00B732C4">
        <w:t xml:space="preserve">, Gits Manufacturing, Elliott </w:t>
      </w:r>
      <w:r w:rsidR="00EF1D52">
        <w:t>Manufacturing</w:t>
      </w:r>
      <w:r w:rsidR="00B732C4">
        <w:t xml:space="preserve">, and </w:t>
      </w:r>
      <w:proofErr w:type="spellStart"/>
      <w:r w:rsidR="00B732C4">
        <w:t>Carslisle</w:t>
      </w:r>
      <w:proofErr w:type="spellEnd"/>
      <w:r w:rsidR="00B732C4">
        <w:t xml:space="preserve"> Brake &amp; Friction)</w:t>
      </w:r>
      <w:r w:rsidR="001B4ED0">
        <w:t xml:space="preserve"> believe</w:t>
      </w:r>
      <w:r w:rsidR="00DE0B7D">
        <w:t>s</w:t>
      </w:r>
      <w:r w:rsidR="001B4ED0">
        <w:t xml:space="preserve"> that operating in a socially responsible and ethical manner and in compliance with the laws of those countries in which we operate is fundamental to our long-term success. </w:t>
      </w:r>
      <w:r>
        <w:t>CentroMotion</w:t>
      </w:r>
      <w:r w:rsidR="001B4ED0">
        <w:t xml:space="preserve"> considers </w:t>
      </w:r>
      <w:r w:rsidR="002230F3">
        <w:t xml:space="preserve">the performance of </w:t>
      </w:r>
      <w:r w:rsidR="001B4ED0">
        <w:t xml:space="preserve">its supply chain to be </w:t>
      </w:r>
      <w:r w:rsidR="002230F3">
        <w:t xml:space="preserve">critical </w:t>
      </w:r>
      <w:r w:rsidR="001B4ED0">
        <w:t xml:space="preserve">and, therefore, strives to operate </w:t>
      </w:r>
      <w:r w:rsidR="00E819BB">
        <w:t xml:space="preserve">collaboratively </w:t>
      </w:r>
      <w:r w:rsidR="001B4ED0">
        <w:t xml:space="preserve">with its suppliers. The selection of </w:t>
      </w:r>
      <w:r w:rsidR="009A07A2">
        <w:t>CentroMotion</w:t>
      </w:r>
      <w:r w:rsidR="001B4ED0">
        <w:t xml:space="preserve">’s suppliers is based not only on the quality and competitiveness of their products and services, but also on their adherence to acceptable social, </w:t>
      </w:r>
      <w:r w:rsidR="005467C3">
        <w:t>ethical,</w:t>
      </w:r>
      <w:r w:rsidR="001B4ED0">
        <w:t xml:space="preserve"> and environmental principles</w:t>
      </w:r>
      <w:r w:rsidR="00E819BB">
        <w:t xml:space="preserve">. </w:t>
      </w:r>
      <w:r w:rsidR="00CF776F">
        <w:t>CentroMotion’s expectation is that a</w:t>
      </w:r>
      <w:r w:rsidR="001B4ED0">
        <w:t xml:space="preserve">ll suppliers comply with all applicable laws as well as the principles set out in this Supplier Code of Conduct. </w:t>
      </w:r>
      <w:r w:rsidR="00A66AB1">
        <w:t xml:space="preserve">The Supplier Code of Conduct is based on CentroMotion’s internal </w:t>
      </w:r>
      <w:r w:rsidR="005467C3">
        <w:t>Worldwide</w:t>
      </w:r>
      <w:r w:rsidR="00A66AB1">
        <w:t xml:space="preserve"> Business Conduct Policy as well as international conventions and standards such as the United Nations Global Compact, the OECD Guidelines for Multinational Enterprises, the International Bill of Human </w:t>
      </w:r>
      <w:proofErr w:type="gramStart"/>
      <w:r w:rsidR="00A66AB1">
        <w:t>Rights</w:t>
      </w:r>
      <w:proofErr w:type="gramEnd"/>
      <w:r w:rsidR="00A66AB1">
        <w:t xml:space="preserve"> and the International </w:t>
      </w:r>
      <w:proofErr w:type="spellStart"/>
      <w:r w:rsidR="00A66AB1">
        <w:t>Labour</w:t>
      </w:r>
      <w:proofErr w:type="spellEnd"/>
      <w:r w:rsidR="00A66AB1">
        <w:t xml:space="preserve"> </w:t>
      </w:r>
      <w:proofErr w:type="spellStart"/>
      <w:r w:rsidR="00A66AB1">
        <w:t>Organisation’s</w:t>
      </w:r>
      <w:proofErr w:type="spellEnd"/>
      <w:r w:rsidR="00A66AB1">
        <w:t xml:space="preserve"> (ILO) Fundamental Principles and Rights at Work.</w:t>
      </w:r>
      <w:r w:rsidR="000713DB">
        <w:t xml:space="preserve"> </w:t>
      </w:r>
    </w:p>
    <w:p w14:paraId="726D0FC3" w14:textId="5B760883" w:rsidR="00AB0716" w:rsidRDefault="00226452" w:rsidP="0026440D">
      <w:pPr>
        <w:spacing w:before="120" w:after="120"/>
      </w:pPr>
      <w:r>
        <w:t>This Supplier Code of Conduct applies to all Suppliers that deliver goods and/or services to any entity of CentroMotion, including their parent, subsidiary</w:t>
      </w:r>
      <w:r w:rsidR="00ED5AEC">
        <w:t>,</w:t>
      </w:r>
      <w:r>
        <w:t xml:space="preserve"> or affiliate entities as well as their respective employees and agents (collectively referred to as </w:t>
      </w:r>
      <w:r w:rsidR="002B5CD9">
        <w:t xml:space="preserve">the </w:t>
      </w:r>
      <w:r>
        <w:t>“Supplier”).</w:t>
      </w:r>
      <w:r w:rsidR="00623E26">
        <w:t xml:space="preserve"> The term “Employee” used throughout this Supplier Code of Conduct covers everyone working for or on behalf of a Supplier, including but not limited to full and part-time employees, consultants, contractors, trainees, temporary workers, migrant workers, senior </w:t>
      </w:r>
      <w:r w:rsidR="005467C3">
        <w:t>management,</w:t>
      </w:r>
      <w:r w:rsidR="00623E26">
        <w:t xml:space="preserve"> and board of directors.</w:t>
      </w:r>
    </w:p>
    <w:p w14:paraId="0E3F43E1" w14:textId="28F749DC" w:rsidR="00D00886" w:rsidRDefault="00D305FD" w:rsidP="00A74916">
      <w:pPr>
        <w:spacing w:before="120" w:after="0"/>
      </w:pPr>
      <w:r>
        <w:t xml:space="preserve">Suppliers </w:t>
      </w:r>
      <w:r w:rsidR="00544594">
        <w:t>are expected to</w:t>
      </w:r>
      <w:r>
        <w:t xml:space="preserve"> ensure that all </w:t>
      </w:r>
      <w:r w:rsidR="00544594">
        <w:t>r</w:t>
      </w:r>
      <w:r>
        <w:t xml:space="preserve">equirements of this Supplier Code of Conduct are cascaded to and complied with within its own operations and by its direct suppliers. </w:t>
      </w:r>
      <w:r w:rsidR="0051746A">
        <w:t xml:space="preserve">All Suppliers are expected to assist CentroMotion in enforcing this Supplier Code of Conduct and are responsible for communicating the principles contained in this Supplier Code of Conduct to their respective employees, subsidiaries, </w:t>
      </w:r>
      <w:proofErr w:type="gramStart"/>
      <w:r w:rsidR="0051746A">
        <w:t>affiliates</w:t>
      </w:r>
      <w:proofErr w:type="gramEnd"/>
      <w:r w:rsidR="0051746A">
        <w:t xml:space="preserve"> and subcontractors. </w:t>
      </w:r>
      <w:r>
        <w:t>We encourage each Supplier to work proactively in their supply chain to implement similar standards</w:t>
      </w:r>
      <w:r w:rsidR="00BE5802">
        <w:t>.</w:t>
      </w:r>
    </w:p>
    <w:p w14:paraId="19096869" w14:textId="77777777" w:rsidR="0076322D" w:rsidRDefault="0076322D" w:rsidP="00A74916">
      <w:pPr>
        <w:spacing w:after="0"/>
        <w:rPr>
          <w:b/>
          <w:bCs/>
        </w:rPr>
      </w:pPr>
    </w:p>
    <w:p w14:paraId="5B21B5CC" w14:textId="72A0AC93" w:rsidR="00D92BDA" w:rsidRPr="00A74916" w:rsidRDefault="00D92BDA" w:rsidP="00A74916">
      <w:pPr>
        <w:spacing w:after="120"/>
        <w:rPr>
          <w:b/>
          <w:bCs/>
          <w:sz w:val="28"/>
          <w:szCs w:val="28"/>
          <w:u w:val="single"/>
        </w:rPr>
      </w:pPr>
      <w:r w:rsidRPr="00A74916">
        <w:rPr>
          <w:b/>
          <w:bCs/>
          <w:sz w:val="28"/>
          <w:szCs w:val="28"/>
          <w:u w:val="single"/>
        </w:rPr>
        <w:t>Compliance</w:t>
      </w:r>
    </w:p>
    <w:p w14:paraId="183697CE" w14:textId="77777777" w:rsidR="008E231F" w:rsidRDefault="00351360" w:rsidP="0026440D">
      <w:pPr>
        <w:spacing w:before="120" w:after="120"/>
      </w:pPr>
      <w:r>
        <w:t>Fundamental to all areas of this Supplier Code of Conduct and the baseline of all business, we require our Suppliers to be knowledgeable about and to comply with all applicable laws and regulations</w:t>
      </w:r>
      <w:r w:rsidR="008E2141">
        <w:t xml:space="preserve">. </w:t>
      </w:r>
      <w:r>
        <w:t xml:space="preserve">All legally required permits, approvals, licenses, registrations, </w:t>
      </w:r>
      <w:r w:rsidR="005467C3">
        <w:t>inspections,</w:t>
      </w:r>
      <w:r>
        <w:t xml:space="preserve"> and related reports shall be in place, up to date and available for inspection upon request. In </w:t>
      </w:r>
      <w:r w:rsidR="00CC6D0D">
        <w:t xml:space="preserve">those </w:t>
      </w:r>
      <w:r>
        <w:t>case</w:t>
      </w:r>
      <w:r w:rsidR="00CC6D0D">
        <w:t>s</w:t>
      </w:r>
      <w:r w:rsidR="00854F55">
        <w:t xml:space="preserve"> where</w:t>
      </w:r>
      <w:r>
        <w:t xml:space="preserve"> local laws and regulations are less restrictive, the principles of this Supplier Code of Conduct shall apply. </w:t>
      </w:r>
    </w:p>
    <w:p w14:paraId="6AD6AB12" w14:textId="2A764722" w:rsidR="00D92BDA" w:rsidRDefault="005A0AB7" w:rsidP="00AD7ABB">
      <w:pPr>
        <w:spacing w:before="120" w:after="0"/>
      </w:pPr>
      <w:r w:rsidRPr="005A0AB7">
        <w:t xml:space="preserve">CentroMotion reserves the right to verify compliance with this Supplier Code through internal and external assessment mechanisms, such as self-assessment questionnaires, announced and unannounced on-site </w:t>
      </w:r>
      <w:r w:rsidRPr="005A0AB7">
        <w:lastRenderedPageBreak/>
        <w:t xml:space="preserve">independent </w:t>
      </w:r>
      <w:proofErr w:type="spellStart"/>
      <w:r w:rsidRPr="005A0AB7">
        <w:t>thirdparty</w:t>
      </w:r>
      <w:proofErr w:type="spellEnd"/>
      <w:r w:rsidRPr="005A0AB7">
        <w:t xml:space="preserve"> audits, and worker well-being surveys. Such audits may inspect Suppliers’ facilities, operations, books and records, and supplier-provided housing, and may include confidential worker interviews. If non-compliances are observed, the supplier will be required to take corrective actions. </w:t>
      </w:r>
      <w:r w:rsidR="008E2141" w:rsidRPr="005A0AB7">
        <w:t xml:space="preserve">Lack of cooperation, failure to address violations of the </w:t>
      </w:r>
      <w:r w:rsidR="004355F9" w:rsidRPr="005A0AB7">
        <w:t>r</w:t>
      </w:r>
      <w:r w:rsidR="008E2141" w:rsidRPr="005A0AB7">
        <w:t>equirements of this Supplier Code of Conduct and/or non-timely implementation of necessary corrective action plans may result in a reduction in business and, ultimately, an end to the business relationship with</w:t>
      </w:r>
      <w:r w:rsidR="00A71C5D" w:rsidRPr="005A0AB7">
        <w:t xml:space="preserve"> CentroMotion and any if its subsidiaries or affiliates</w:t>
      </w:r>
      <w:r w:rsidR="008E2141" w:rsidRPr="005A0AB7">
        <w:t>.</w:t>
      </w:r>
      <w:r w:rsidR="008E2141">
        <w:t xml:space="preserve"> </w:t>
      </w:r>
    </w:p>
    <w:p w14:paraId="60E741BF" w14:textId="22D2340D" w:rsidR="00276146" w:rsidRDefault="00276146" w:rsidP="00AD7ABB">
      <w:pPr>
        <w:spacing w:after="0"/>
      </w:pPr>
    </w:p>
    <w:p w14:paraId="6E077887" w14:textId="77777777" w:rsidR="007D3D7C" w:rsidRPr="00893C71" w:rsidRDefault="001B4ED0" w:rsidP="00AD7ABB">
      <w:pPr>
        <w:spacing w:after="120"/>
        <w:rPr>
          <w:b/>
          <w:bCs/>
          <w:sz w:val="28"/>
          <w:szCs w:val="28"/>
          <w:u w:val="single"/>
        </w:rPr>
      </w:pPr>
      <w:r w:rsidRPr="00893C71">
        <w:rPr>
          <w:b/>
          <w:bCs/>
          <w:sz w:val="28"/>
          <w:szCs w:val="28"/>
          <w:u w:val="single"/>
        </w:rPr>
        <w:t xml:space="preserve">Labor and Human Rights </w:t>
      </w:r>
    </w:p>
    <w:p w14:paraId="086FF8D2" w14:textId="4DC7CE66" w:rsidR="007D3D7C" w:rsidRDefault="001B4ED0" w:rsidP="0026440D">
      <w:pPr>
        <w:spacing w:before="120" w:after="120"/>
      </w:pPr>
      <w:r w:rsidRPr="00893C71">
        <w:rPr>
          <w:b/>
          <w:bCs/>
        </w:rPr>
        <w:t>Child labor</w:t>
      </w:r>
      <w:r w:rsidR="00893C71" w:rsidRPr="00893C71">
        <w:rPr>
          <w:b/>
          <w:bCs/>
        </w:rPr>
        <w:t>:</w:t>
      </w:r>
      <w:r w:rsidR="00893C71">
        <w:t xml:space="preserve"> </w:t>
      </w:r>
      <w:r>
        <w:t xml:space="preserve">No Suppliers </w:t>
      </w:r>
      <w:r w:rsidR="00A40DBD">
        <w:t>may</w:t>
      </w:r>
      <w:r>
        <w:t xml:space="preserve"> employ child labor. The term “child” refers to a person who is younger than 15 years old or who has not yet reached the age for completing compulsory education, whichever is greater</w:t>
      </w:r>
      <w:r w:rsidR="006036B0">
        <w:t>.</w:t>
      </w:r>
      <w:r>
        <w:t xml:space="preserve"> </w:t>
      </w:r>
    </w:p>
    <w:p w14:paraId="3C8C69B6" w14:textId="6EDC5173" w:rsidR="007D3D7C" w:rsidRDefault="001B4ED0" w:rsidP="0026440D">
      <w:pPr>
        <w:spacing w:before="120" w:after="120"/>
      </w:pPr>
      <w:r w:rsidRPr="00BA46EF">
        <w:rPr>
          <w:b/>
          <w:bCs/>
        </w:rPr>
        <w:t>Forced labor</w:t>
      </w:r>
      <w:r w:rsidR="00C572AF">
        <w:rPr>
          <w:b/>
          <w:bCs/>
        </w:rPr>
        <w:t xml:space="preserve"> and Human Trafficking</w:t>
      </w:r>
      <w:r w:rsidR="00BA46EF" w:rsidRPr="00BA46EF">
        <w:rPr>
          <w:b/>
          <w:bCs/>
        </w:rPr>
        <w:t>:</w:t>
      </w:r>
      <w:r w:rsidR="00BA46EF">
        <w:t xml:space="preserve"> </w:t>
      </w:r>
      <w:r>
        <w:t>No Suppliers may employ forced labor. Employment must be voluntarily and freely chosen. All Suppliers, including recruitment agencies used by a Supplier, must</w:t>
      </w:r>
      <w:r w:rsidR="00341576">
        <w:t xml:space="preserve"> </w:t>
      </w:r>
      <w:r>
        <w:t xml:space="preserve">not use any form of prison, indentured, forced, involuntary, bonded or slave labor. Involuntary labor includes the transportation, harboring, recruitment, transfer, receipt, or employment of persons by means of threat, force, coercion, abduction, fraud, or payments to any person having control over another person for the purpose of exploitation. No Suppliers </w:t>
      </w:r>
      <w:r w:rsidR="00341576">
        <w:t>may</w:t>
      </w:r>
      <w:r>
        <w:t xml:space="preserve"> require employees to lodge deposits or identity papers, or to pay recruitment fees. </w:t>
      </w:r>
    </w:p>
    <w:p w14:paraId="090C79CB" w14:textId="32FBE733" w:rsidR="007D3D7C" w:rsidRDefault="001B4ED0" w:rsidP="0026440D">
      <w:pPr>
        <w:spacing w:before="120" w:after="120"/>
      </w:pPr>
      <w:r w:rsidRPr="00AF38AD">
        <w:rPr>
          <w:b/>
          <w:bCs/>
        </w:rPr>
        <w:t>Wages and Hours</w:t>
      </w:r>
      <w:r w:rsidR="004A02EE">
        <w:t xml:space="preserve">: </w:t>
      </w:r>
      <w:r>
        <w:t xml:space="preserve"> All Suppliers must ensure that </w:t>
      </w:r>
      <w:proofErr w:type="gramStart"/>
      <w:r>
        <w:t>all of</w:t>
      </w:r>
      <w:proofErr w:type="gramEnd"/>
      <w:r>
        <w:t xml:space="preserve"> their workers receive at least the legally mandated minimum wages and benefits</w:t>
      </w:r>
      <w:r w:rsidR="00AF38AD">
        <w:t xml:space="preserve"> including but not limited to resting hours, including overtime working hours, as well as annual, sick, and parental leave</w:t>
      </w:r>
      <w:r>
        <w:t>. Working conditions, working time</w:t>
      </w:r>
      <w:r w:rsidR="00A03D69">
        <w:t>,</w:t>
      </w:r>
      <w:r>
        <w:t xml:space="preserve"> and compensation must be fair, complying with the laws, standards</w:t>
      </w:r>
      <w:r w:rsidR="006036B0">
        <w:t>,</w:t>
      </w:r>
      <w:r>
        <w:t xml:space="preserve"> and practices applicable in those countries where the Supplier operates. </w:t>
      </w:r>
    </w:p>
    <w:p w14:paraId="289CB8D7" w14:textId="0396104C" w:rsidR="007D3D7C" w:rsidRDefault="001B4ED0" w:rsidP="0026440D">
      <w:pPr>
        <w:spacing w:before="120" w:after="120"/>
      </w:pPr>
      <w:r w:rsidRPr="00E43831">
        <w:rPr>
          <w:b/>
          <w:bCs/>
        </w:rPr>
        <w:t>Freedom of association</w:t>
      </w:r>
      <w:r w:rsidR="00E43831" w:rsidRPr="00E43831">
        <w:rPr>
          <w:b/>
          <w:bCs/>
        </w:rPr>
        <w:t>:</w:t>
      </w:r>
      <w:r w:rsidR="00E43831">
        <w:t xml:space="preserve"> </w:t>
      </w:r>
      <w:r>
        <w:t xml:space="preserve">All Suppliers shall freely allow workers to join associations, and bargain collectively, in accordance with local law, without interference, discrimination, retaliation, or harassment. </w:t>
      </w:r>
      <w:r w:rsidR="002E7F9B">
        <w:t>Employees shall be able to openly communicate and share ideas and concerns with management regarding working conditions and management practices without fear of discrimination, intimidation</w:t>
      </w:r>
      <w:r w:rsidR="006036B0">
        <w:t>,</w:t>
      </w:r>
      <w:r w:rsidR="002E7F9B">
        <w:t xml:space="preserve"> or retaliation. </w:t>
      </w:r>
    </w:p>
    <w:p w14:paraId="313E5428" w14:textId="7F695187" w:rsidR="002E7F9B" w:rsidRDefault="002E7F9B" w:rsidP="00AD7ABB">
      <w:pPr>
        <w:spacing w:before="120" w:after="0"/>
      </w:pPr>
      <w:r w:rsidRPr="00056645">
        <w:rPr>
          <w:b/>
          <w:bCs/>
        </w:rPr>
        <w:t>Non-Discrimination and Fair Treatment:</w:t>
      </w:r>
      <w:r>
        <w:t xml:space="preserve"> </w:t>
      </w:r>
      <w:r w:rsidR="007421AD">
        <w:t xml:space="preserve">All Suppliers must treat their workers in a fair and non-discriminatory manner, with the guarantee of equal opportunity and the absence of any policy aimed at, or indirectly resulting in, discrimination toward them on any basis whatsoever, including, but not limited to, race, gender, sexual orientation, social and personal position, health condition, disability, age, nationality, </w:t>
      </w:r>
      <w:proofErr w:type="gramStart"/>
      <w:r w:rsidR="007421AD">
        <w:t>religion</w:t>
      </w:r>
      <w:proofErr w:type="gramEnd"/>
      <w:r w:rsidR="007421AD">
        <w:t xml:space="preserve"> or personal belief (in accordance with applicable laws)</w:t>
      </w:r>
      <w:r w:rsidR="006160ED">
        <w:t xml:space="preserve">. Additionally, </w:t>
      </w:r>
      <w:r w:rsidR="00056645">
        <w:t>Supplier</w:t>
      </w:r>
      <w:r w:rsidR="00D15951">
        <w:t>s</w:t>
      </w:r>
      <w:r w:rsidR="00056645">
        <w:t xml:space="preserve"> shall not tolerate humiliating or physical punishment or allow any Employee to be subject to verbal, psychological, </w:t>
      </w:r>
      <w:proofErr w:type="gramStart"/>
      <w:r w:rsidR="00056645">
        <w:t>physical</w:t>
      </w:r>
      <w:proofErr w:type="gramEnd"/>
      <w:r w:rsidR="00056645">
        <w:t xml:space="preserve"> or sexual harassment or abuse.</w:t>
      </w:r>
    </w:p>
    <w:p w14:paraId="7A0902E4" w14:textId="24F83395" w:rsidR="007D3D7C" w:rsidRDefault="007D3D7C" w:rsidP="00AD7ABB">
      <w:pPr>
        <w:spacing w:after="0"/>
      </w:pPr>
    </w:p>
    <w:p w14:paraId="1E27C909" w14:textId="3EA9254E" w:rsidR="007D3D7C" w:rsidRPr="00DE31B0" w:rsidRDefault="001B4ED0" w:rsidP="00AD7ABB">
      <w:pPr>
        <w:spacing w:after="120"/>
        <w:rPr>
          <w:b/>
          <w:bCs/>
          <w:sz w:val="28"/>
          <w:szCs w:val="28"/>
          <w:u w:val="single"/>
        </w:rPr>
      </w:pPr>
      <w:r w:rsidRPr="00DE31B0">
        <w:rPr>
          <w:b/>
          <w:bCs/>
          <w:sz w:val="28"/>
          <w:szCs w:val="28"/>
          <w:u w:val="single"/>
        </w:rPr>
        <w:t xml:space="preserve">Health and safety </w:t>
      </w:r>
    </w:p>
    <w:p w14:paraId="1DA9DF53" w14:textId="62532275" w:rsidR="00760968" w:rsidRDefault="009C663A" w:rsidP="00AD7ABB">
      <w:pPr>
        <w:spacing w:before="120" w:after="0"/>
      </w:pPr>
      <w:r w:rsidRPr="00952526">
        <w:t>Suppliers must provide workers a clean, safe</w:t>
      </w:r>
      <w:r w:rsidR="00131993">
        <w:t>,</w:t>
      </w:r>
      <w:r w:rsidRPr="00952526">
        <w:t xml:space="preserve"> and healthy work environment in compliance with all legally mandated standards for workplace health and safety in the countries in which they operate. This includes any </w:t>
      </w:r>
      <w:r w:rsidRPr="00952526">
        <w:lastRenderedPageBreak/>
        <w:t>residential facilities a Supplier provides to its workers</w:t>
      </w:r>
      <w:r w:rsidR="003A4208" w:rsidRPr="00952526">
        <w:t xml:space="preserve">. </w:t>
      </w:r>
      <w:r w:rsidR="003D0CB3" w:rsidRPr="00952526">
        <w:t>Supplier</w:t>
      </w:r>
      <w:r w:rsidR="00952526" w:rsidRPr="00952526">
        <w:t>s</w:t>
      </w:r>
      <w:r w:rsidR="003D0CB3" w:rsidRPr="00952526">
        <w:t xml:space="preserve"> shall ensure that its Employees’ potential exposure to safety hazards, such as machines, </w:t>
      </w:r>
      <w:proofErr w:type="gramStart"/>
      <w:r w:rsidR="003D0CB3" w:rsidRPr="00952526">
        <w:t>equipment</w:t>
      </w:r>
      <w:proofErr w:type="gramEnd"/>
      <w:r w:rsidR="003D0CB3" w:rsidRPr="00952526">
        <w:t xml:space="preserve"> or substances, or other chemical, biological or physical agents, are identified, assessed and controlled through proper design and/or preventative maintenance and safe work procedures. Where hazards cannot be adequately controlled by these means, Employees shall be provided with appropriate personal protective equipment</w:t>
      </w:r>
      <w:r w:rsidR="003A4208" w:rsidRPr="00952526">
        <w:t xml:space="preserve">. </w:t>
      </w:r>
      <w:r w:rsidR="00952526" w:rsidRPr="00952526">
        <w:t xml:space="preserve">Additionally, </w:t>
      </w:r>
      <w:r w:rsidR="003D0CB3" w:rsidRPr="00952526">
        <w:t>Supplier</w:t>
      </w:r>
      <w:r w:rsidR="00952526" w:rsidRPr="00952526">
        <w:t>s</w:t>
      </w:r>
      <w:r w:rsidR="003D0CB3" w:rsidRPr="00952526">
        <w:t xml:space="preserve"> shall have adequate emergency preparedness procedures in place </w:t>
      </w:r>
      <w:proofErr w:type="gramStart"/>
      <w:r w:rsidR="003D0CB3" w:rsidRPr="00952526">
        <w:t>in order to</w:t>
      </w:r>
      <w:proofErr w:type="gramEnd"/>
      <w:r w:rsidR="003D0CB3" w:rsidRPr="00952526">
        <w:t xml:space="preserve"> identify and assess potential emergency situations. </w:t>
      </w:r>
      <w:r w:rsidR="00952526" w:rsidRPr="00952526">
        <w:t xml:space="preserve">Lastly, </w:t>
      </w:r>
      <w:r w:rsidR="003D0CB3" w:rsidRPr="00952526">
        <w:t xml:space="preserve">Employees shall have ready access to clean drinking water, hygienic facilities, </w:t>
      </w:r>
      <w:r w:rsidR="00B10DAE" w:rsidRPr="00952526">
        <w:t xml:space="preserve">providing </w:t>
      </w:r>
      <w:r w:rsidR="003D0CB3" w:rsidRPr="00952526">
        <w:t>adequate ventilation, light</w:t>
      </w:r>
      <w:r w:rsidR="00B10DAE" w:rsidRPr="00952526">
        <w:t>, noise</w:t>
      </w:r>
      <w:r w:rsidR="003A4208" w:rsidRPr="00952526">
        <w:t>,</w:t>
      </w:r>
      <w:r w:rsidR="003D0CB3" w:rsidRPr="00952526">
        <w:t xml:space="preserve"> and temperature levels</w:t>
      </w:r>
      <w:r w:rsidR="003A4208" w:rsidRPr="00952526">
        <w:t>.</w:t>
      </w:r>
      <w:r w:rsidR="003A4208">
        <w:t xml:space="preserve"> </w:t>
      </w:r>
    </w:p>
    <w:p w14:paraId="7B81EAA8" w14:textId="77777777" w:rsidR="007D3D7C" w:rsidRDefault="007D3D7C" w:rsidP="00AD7ABB">
      <w:pPr>
        <w:spacing w:after="0"/>
      </w:pPr>
    </w:p>
    <w:p w14:paraId="1C7BBCBA" w14:textId="5203EC02" w:rsidR="007D3D7C" w:rsidRPr="00001E62" w:rsidRDefault="001B4ED0" w:rsidP="00AD7ABB">
      <w:pPr>
        <w:spacing w:after="120"/>
        <w:rPr>
          <w:b/>
          <w:bCs/>
          <w:sz w:val="28"/>
          <w:szCs w:val="28"/>
          <w:u w:val="single"/>
        </w:rPr>
      </w:pPr>
      <w:r w:rsidRPr="00001E62">
        <w:rPr>
          <w:b/>
          <w:bCs/>
          <w:sz w:val="28"/>
          <w:szCs w:val="28"/>
          <w:u w:val="single"/>
        </w:rPr>
        <w:t xml:space="preserve">Environment </w:t>
      </w:r>
    </w:p>
    <w:p w14:paraId="099DA3D4" w14:textId="33E72243" w:rsidR="00760968" w:rsidRDefault="00297849" w:rsidP="00AD7ABB">
      <w:pPr>
        <w:spacing w:before="120" w:after="0"/>
      </w:pPr>
      <w:r>
        <w:t xml:space="preserve">Suppliers must comply with all local environmental laws applicable to the workplace, the products produced, and the methods of manufacture. Additionally, Suppliers </w:t>
      </w:r>
      <w:r w:rsidR="00AF4CF0">
        <w:t>should</w:t>
      </w:r>
      <w:r>
        <w:t xml:space="preserve"> not use materials that are considered harmful to the </w:t>
      </w:r>
      <w:proofErr w:type="gramStart"/>
      <w:r>
        <w:t>environment, but</w:t>
      </w:r>
      <w:proofErr w:type="gramEnd"/>
      <w:r>
        <w:t xml:space="preserve"> should encourage the use of processes and materials that support sustainability of the environment. </w:t>
      </w:r>
      <w:r w:rsidR="001B4ED0">
        <w:t>To minimize the impact of production processes and products on the environment, all Suppliers should</w:t>
      </w:r>
      <w:r w:rsidR="00E3732F">
        <w:t xml:space="preserve"> </w:t>
      </w:r>
      <w:r w:rsidR="001B4ED0">
        <w:t xml:space="preserve">make every effort to </w:t>
      </w:r>
      <w:r w:rsidR="001868E4">
        <w:t>optimize</w:t>
      </w:r>
      <w:r w:rsidR="001B4ED0">
        <w:t xml:space="preserve"> the use of resources and </w:t>
      </w:r>
      <w:r w:rsidR="001868E4">
        <w:t>minimize</w:t>
      </w:r>
      <w:r w:rsidR="001B4ED0">
        <w:t xml:space="preserve"> polluting and greenhouse gas emissions</w:t>
      </w:r>
      <w:r w:rsidR="00E3732F">
        <w:t xml:space="preserve"> and </w:t>
      </w:r>
      <w:r w:rsidR="001B4ED0">
        <w:t>avoid the use of potentially dangerous substances (as defined by applicable laws)</w:t>
      </w:r>
      <w:r w:rsidR="008234ED">
        <w:t xml:space="preserve">. </w:t>
      </w:r>
      <w:r w:rsidR="00760968" w:rsidRPr="00760968">
        <w:t xml:space="preserve">Suppliers are encouraged to actively measure, </w:t>
      </w:r>
      <w:proofErr w:type="gramStart"/>
      <w:r w:rsidR="00760968" w:rsidRPr="00760968">
        <w:t>manage</w:t>
      </w:r>
      <w:proofErr w:type="gramEnd"/>
      <w:r w:rsidR="00760968" w:rsidRPr="00760968">
        <w:t xml:space="preserve"> and disclose environmental impacts in areas such as Greenhouse Gas (GHG) emissions, water and waste as well as to set targets and implement action plans for reducing environmental impacts</w:t>
      </w:r>
    </w:p>
    <w:p w14:paraId="6F7F2CBC" w14:textId="77777777" w:rsidR="00E479CE" w:rsidRDefault="00E479CE" w:rsidP="00AD7ABB">
      <w:pPr>
        <w:spacing w:after="0"/>
      </w:pPr>
    </w:p>
    <w:p w14:paraId="41542CBA" w14:textId="77777777" w:rsidR="00DE10E3" w:rsidRPr="00A85239" w:rsidRDefault="001B4ED0" w:rsidP="00AD7ABB">
      <w:pPr>
        <w:spacing w:after="120"/>
        <w:rPr>
          <w:b/>
          <w:bCs/>
          <w:sz w:val="28"/>
          <w:szCs w:val="28"/>
          <w:u w:val="single"/>
        </w:rPr>
      </w:pPr>
      <w:r w:rsidRPr="00A85239">
        <w:rPr>
          <w:b/>
          <w:bCs/>
          <w:sz w:val="28"/>
          <w:szCs w:val="28"/>
          <w:u w:val="single"/>
        </w:rPr>
        <w:t xml:space="preserve">Trade Restrictions/Export Controls </w:t>
      </w:r>
    </w:p>
    <w:p w14:paraId="137DAE85" w14:textId="4F94E75F" w:rsidR="00DE10E3" w:rsidRDefault="001B4ED0" w:rsidP="00AD7ABB">
      <w:pPr>
        <w:spacing w:before="120" w:after="0"/>
      </w:pPr>
      <w:r>
        <w:t>All Suppliers</w:t>
      </w:r>
      <w:r w:rsidR="008234ED">
        <w:t xml:space="preserve"> that</w:t>
      </w:r>
      <w:r>
        <w:t xml:space="preserve"> are either directly or indirectly responsible for the import and export of goods sold to </w:t>
      </w:r>
      <w:r w:rsidR="001868E4">
        <w:t xml:space="preserve">CentroMotion </w:t>
      </w:r>
      <w:r>
        <w:t xml:space="preserve">must be aware of and comply with all applicable laws that govern international trade. Accordingly, Suppliers are expected to make accurate customs declarations, not mischaracterize the value or nature of goods in any way that may create liability for </w:t>
      </w:r>
      <w:proofErr w:type="gramStart"/>
      <w:r w:rsidR="009A0B03">
        <w:t>CentroMotion</w:t>
      </w:r>
      <w:r>
        <w:t>, and</w:t>
      </w:r>
      <w:proofErr w:type="gramEnd"/>
      <w:r>
        <w:t xml:space="preserve"> obtain (or assist in obtaining) any required licenses, approvals</w:t>
      </w:r>
      <w:r w:rsidR="001868E4">
        <w:t>,</w:t>
      </w:r>
      <w:r>
        <w:t xml:space="preserve"> or other permits. </w:t>
      </w:r>
    </w:p>
    <w:p w14:paraId="38B5E568" w14:textId="77777777" w:rsidR="00DE10E3" w:rsidRDefault="00DE10E3" w:rsidP="00DB35CC">
      <w:pPr>
        <w:spacing w:after="0"/>
      </w:pPr>
    </w:p>
    <w:p w14:paraId="3C0CF7FF" w14:textId="579CE2CE" w:rsidR="00DE10E3" w:rsidRPr="00A85239" w:rsidRDefault="001B4ED0" w:rsidP="00DB35CC">
      <w:pPr>
        <w:spacing w:after="120"/>
        <w:rPr>
          <w:b/>
          <w:bCs/>
          <w:sz w:val="28"/>
          <w:szCs w:val="28"/>
          <w:u w:val="single"/>
        </w:rPr>
      </w:pPr>
      <w:r w:rsidRPr="00A85239">
        <w:rPr>
          <w:b/>
          <w:bCs/>
          <w:sz w:val="28"/>
          <w:szCs w:val="28"/>
          <w:u w:val="single"/>
        </w:rPr>
        <w:t xml:space="preserve">Responsible Sourcing of Minerals </w:t>
      </w:r>
    </w:p>
    <w:p w14:paraId="40030DF1" w14:textId="54DD2CF3" w:rsidR="0054634F" w:rsidRDefault="009C4FA0" w:rsidP="00DB35CC">
      <w:pPr>
        <w:spacing w:before="120" w:after="0"/>
      </w:pPr>
      <w:r>
        <w:t xml:space="preserve">CentroMotion </w:t>
      </w:r>
      <w:r w:rsidR="00DC2D6F">
        <w:t>requires</w:t>
      </w:r>
      <w:r>
        <w:t xml:space="preserve"> its suppliers that manufacture components, parts, or products containing “Conflict Minerals” (tin, tungsten, tantalum, and gold – often referred to as “3TG”</w:t>
      </w:r>
      <w:r w:rsidR="00B54B04">
        <w:t xml:space="preserve"> minerals</w:t>
      </w:r>
      <w:r>
        <w:t xml:space="preserve">) to procure those materials from conflict-free sources. </w:t>
      </w:r>
      <w:r w:rsidR="00DC2D6F">
        <w:t>Suppliers are required to determine whether those metals are from the Democratic Republic of the Congo (“DRC”) or any adjoining country</w:t>
      </w:r>
      <w:r w:rsidR="0067542C">
        <w:t xml:space="preserve">. </w:t>
      </w:r>
      <w:r w:rsidR="00DC2D6F">
        <w:t xml:space="preserve"> Countries that adjoin the DRC are Angola, Burundi, Central African Republic, the Republic of the Congo, Rwanda, South Sudan, Tanzania, Uganda, and Zambia. </w:t>
      </w:r>
      <w:r>
        <w:t xml:space="preserve">We expect our suppliers to adopt, implement and communicate to sub-suppliers their positions and policies regarding Conflict Minerals, and where possible, require their down-stream suppliers to adopt and implement similar positions and policies. Suppliers are expected to work with their sub-suppliers </w:t>
      </w:r>
      <w:r>
        <w:lastRenderedPageBreak/>
        <w:t>to establish traceability of Conflict Minerals to the smelter level and encourage the use of a standard reporting process (</w:t>
      </w:r>
      <w:proofErr w:type="gramStart"/>
      <w:r>
        <w:t>e.g.</w:t>
      </w:r>
      <w:proofErr w:type="gramEnd"/>
      <w:r>
        <w:t xml:space="preserve"> the Responsible Minerals Initiative Conflict Minerals Reporting Template).</w:t>
      </w:r>
    </w:p>
    <w:p w14:paraId="63F60122" w14:textId="77777777" w:rsidR="00DE10E3" w:rsidRDefault="00DE10E3" w:rsidP="00DB35CC">
      <w:pPr>
        <w:spacing w:after="0"/>
      </w:pPr>
    </w:p>
    <w:p w14:paraId="76BEC192" w14:textId="77777777" w:rsidR="00DE10E3" w:rsidRPr="002A49B4" w:rsidRDefault="001B4ED0" w:rsidP="00DB35CC">
      <w:pPr>
        <w:spacing w:after="120"/>
        <w:rPr>
          <w:b/>
          <w:bCs/>
          <w:sz w:val="28"/>
          <w:szCs w:val="28"/>
          <w:u w:val="single"/>
        </w:rPr>
      </w:pPr>
      <w:r w:rsidRPr="002A49B4">
        <w:rPr>
          <w:b/>
          <w:bCs/>
          <w:sz w:val="28"/>
          <w:szCs w:val="28"/>
          <w:u w:val="single"/>
        </w:rPr>
        <w:t xml:space="preserve">Business Ethics </w:t>
      </w:r>
    </w:p>
    <w:p w14:paraId="0C9C7EE5" w14:textId="6F6DA5ED" w:rsidR="007D3EF8" w:rsidRDefault="007F6D9B" w:rsidP="0026440D">
      <w:pPr>
        <w:spacing w:before="120" w:after="120"/>
      </w:pPr>
      <w:r>
        <w:rPr>
          <w:b/>
          <w:bCs/>
        </w:rPr>
        <w:t>Anti-Corruption</w:t>
      </w:r>
      <w:r w:rsidR="00490692" w:rsidRPr="00490692">
        <w:rPr>
          <w:b/>
          <w:bCs/>
        </w:rPr>
        <w:t>:</w:t>
      </w:r>
      <w:r w:rsidR="00490692">
        <w:t xml:space="preserve"> </w:t>
      </w:r>
      <w:r w:rsidR="007D3EF8">
        <w:t>Supplier</w:t>
      </w:r>
      <w:r w:rsidR="005F1335">
        <w:t>s</w:t>
      </w:r>
      <w:r w:rsidR="007D3EF8">
        <w:t xml:space="preserve"> shall not engage in, endorse nor tolerate any form of bribery</w:t>
      </w:r>
      <w:r w:rsidR="005F1335">
        <w:t>, “kickback”, or improper payments</w:t>
      </w:r>
      <w:r w:rsidR="007D3EF8">
        <w:t xml:space="preserve"> </w:t>
      </w:r>
      <w:r w:rsidR="00C5722F">
        <w:t>(cash</w:t>
      </w:r>
      <w:r w:rsidR="00276D93">
        <w:t xml:space="preserve"> or other benefits) </w:t>
      </w:r>
      <w:r w:rsidR="007D3EF8">
        <w:t xml:space="preserve">directly or indirectly. Supplier </w:t>
      </w:r>
      <w:r w:rsidR="005F1335">
        <w:t>may</w:t>
      </w:r>
      <w:r w:rsidR="007D3EF8">
        <w:t xml:space="preserve"> not offer nor accept any form of improper benefit to or from a third party, private or public, with the purpose of obtaining or retaining business or any form of preferential treatment. </w:t>
      </w:r>
    </w:p>
    <w:p w14:paraId="07B9BDD7" w14:textId="5670C97F" w:rsidR="00183AF3" w:rsidRDefault="001B4ED0" w:rsidP="00183AF3">
      <w:pPr>
        <w:spacing w:before="120" w:after="120"/>
      </w:pPr>
      <w:r w:rsidRPr="00B25794">
        <w:rPr>
          <w:b/>
          <w:bCs/>
        </w:rPr>
        <w:t>Conflicts of Interest</w:t>
      </w:r>
      <w:r w:rsidR="00490692" w:rsidRPr="00B25794">
        <w:rPr>
          <w:b/>
          <w:bCs/>
        </w:rPr>
        <w:t>:</w:t>
      </w:r>
      <w:r w:rsidR="00490692">
        <w:t xml:space="preserve"> </w:t>
      </w:r>
      <w:r w:rsidR="00183AF3">
        <w:t>Suppliers must not engage in activities that create, or even appear to create, conflict between the Supplier’s interests and the interests of CentroMotion. CentroMotion expects prompt disclosure of any potential, actual</w:t>
      </w:r>
      <w:r w:rsidR="004D4F8A">
        <w:t>,</w:t>
      </w:r>
      <w:r w:rsidR="00183AF3">
        <w:t xml:space="preserve"> and perceived conflicts of interest. CentroMotion prohibits accepting or offering gifts, favors</w:t>
      </w:r>
      <w:r w:rsidR="000C6139">
        <w:t>,</w:t>
      </w:r>
      <w:r w:rsidR="00183AF3">
        <w:t xml:space="preserve"> or entertainment that obligate or appear to obligate our Employees, business partners or customers to act in any way contrary to the law, CentroMotion’s business interests and commonly accepted business practices. </w:t>
      </w:r>
    </w:p>
    <w:p w14:paraId="59684358" w14:textId="067524D0" w:rsidR="0001607D" w:rsidRDefault="001B4ED0" w:rsidP="0026440D">
      <w:pPr>
        <w:spacing w:before="120" w:after="120"/>
      </w:pPr>
      <w:r w:rsidRPr="00B25794">
        <w:rPr>
          <w:b/>
          <w:bCs/>
        </w:rPr>
        <w:t>Fair Competition</w:t>
      </w:r>
      <w:r w:rsidR="00B25794" w:rsidRPr="00B25794">
        <w:rPr>
          <w:b/>
          <w:bCs/>
        </w:rPr>
        <w:t>:</w:t>
      </w:r>
      <w:r w:rsidR="00B25794">
        <w:t xml:space="preserve"> </w:t>
      </w:r>
      <w:r w:rsidR="00834F64">
        <w:t>Supplier shall respect and comply with all applicable fair trade, competition and anti-trust laws and regulations and shall not have any anti-competitive discussions or enter into any anti-competitive agreements, including illegal price-fixing, market sharing, customer allocation or other illegal restrictive practices, at any level of the production or distribution chain.</w:t>
      </w:r>
    </w:p>
    <w:p w14:paraId="7C1C61EB" w14:textId="6DE583BC" w:rsidR="0001607D" w:rsidRDefault="009F7048" w:rsidP="00DB35CC">
      <w:pPr>
        <w:spacing w:before="120" w:after="0"/>
      </w:pPr>
      <w:r w:rsidRPr="009F7048">
        <w:rPr>
          <w:b/>
          <w:bCs/>
        </w:rPr>
        <w:t>Confidentiality and Intellectual Property Rights:</w:t>
      </w:r>
      <w:r>
        <w:t xml:space="preserve"> Supplier shall respect CentroMotion</w:t>
      </w:r>
      <w:r w:rsidR="001928FC">
        <w:t>’</w:t>
      </w:r>
      <w:r>
        <w:t xml:space="preserve">s confidential information and intellectual property rights by safeguarding against misuse, mishandling, counterfeit, theft, </w:t>
      </w:r>
      <w:proofErr w:type="gramStart"/>
      <w:r>
        <w:t>fraud</w:t>
      </w:r>
      <w:proofErr w:type="gramEnd"/>
      <w:r>
        <w:t xml:space="preserve"> or improper disclosure in accordance with applicable law and the contractual terms with CentroMotion</w:t>
      </w:r>
      <w:r w:rsidR="0095481C">
        <w:t xml:space="preserve">. Whenever a Supplier is entrusted with personal information about individuals, Supplier shall safeguard it and take appropriate steps to protect it from misuse. All applicable data privacy laws as well as the contractual terms with the CentroMotion shall be observed when collecting, storing, using, </w:t>
      </w:r>
      <w:proofErr w:type="gramStart"/>
      <w:r w:rsidR="0095481C">
        <w:t>processing</w:t>
      </w:r>
      <w:proofErr w:type="gramEnd"/>
      <w:r w:rsidR="0095481C">
        <w:t xml:space="preserve"> or sharing personal information about individuals.</w:t>
      </w:r>
    </w:p>
    <w:p w14:paraId="555886CA" w14:textId="7AA605E7" w:rsidR="0001607D" w:rsidRDefault="0001607D" w:rsidP="00DB35CC">
      <w:pPr>
        <w:spacing w:after="0"/>
      </w:pPr>
    </w:p>
    <w:p w14:paraId="20C77BBD" w14:textId="1FE2CF10" w:rsidR="0001607D" w:rsidRPr="00394334" w:rsidRDefault="001B4ED0" w:rsidP="00DB35CC">
      <w:pPr>
        <w:spacing w:after="120"/>
        <w:rPr>
          <w:b/>
          <w:bCs/>
          <w:sz w:val="28"/>
          <w:szCs w:val="28"/>
          <w:u w:val="single"/>
        </w:rPr>
      </w:pPr>
      <w:r w:rsidRPr="00394334">
        <w:rPr>
          <w:b/>
          <w:bCs/>
          <w:sz w:val="28"/>
          <w:szCs w:val="28"/>
          <w:u w:val="single"/>
        </w:rPr>
        <w:t xml:space="preserve">Reporting Violations </w:t>
      </w:r>
    </w:p>
    <w:p w14:paraId="3E01E681" w14:textId="4AA8CB7A" w:rsidR="008A4699" w:rsidRDefault="001B4ED0" w:rsidP="0067542C">
      <w:pPr>
        <w:spacing w:before="120" w:after="120"/>
      </w:pPr>
      <w:r>
        <w:t xml:space="preserve">Suppliers are responsible for reporting to </w:t>
      </w:r>
      <w:r w:rsidR="009A07A2">
        <w:t>CentroMotion</w:t>
      </w:r>
      <w:r>
        <w:t xml:space="preserve"> suspected violations of law, or this Supplier Code of Conduct. </w:t>
      </w:r>
      <w:r w:rsidR="0048556C">
        <w:t xml:space="preserve">Any questions regarding the interpretation of this Supplier Code of Conduct in our supply chains in general can be raised to </w:t>
      </w:r>
      <w:r w:rsidR="00075701" w:rsidRPr="00075701">
        <w:t>their purchasing contact</w:t>
      </w:r>
      <w:r w:rsidR="0048556C" w:rsidRPr="00075701">
        <w:t xml:space="preserve">. </w:t>
      </w:r>
      <w:r w:rsidR="0048556C">
        <w:t xml:space="preserve">Additionally, Suppliers </w:t>
      </w:r>
      <w:r>
        <w:t xml:space="preserve">may use </w:t>
      </w:r>
      <w:r w:rsidR="009A07A2">
        <w:t>CentroMotion</w:t>
      </w:r>
      <w:r>
        <w:t>’s compliance helpline, available at</w:t>
      </w:r>
      <w:r w:rsidR="00075701">
        <w:t xml:space="preserve"> ethics.centromotion.com or call</w:t>
      </w:r>
      <w:r w:rsidR="0044512B">
        <w:t xml:space="preserve"> 1-800-461-9330</w:t>
      </w:r>
    </w:p>
    <w:sectPr w:rsidR="008A4699" w:rsidSect="0026440D">
      <w:headerReference w:type="default" r:id="rId11"/>
      <w:footerReference w:type="default" r:id="rId12"/>
      <w:pgSz w:w="12240" w:h="15840"/>
      <w:pgMar w:top="1440" w:right="1260" w:bottom="1440" w:left="117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77A3" w14:textId="77777777" w:rsidR="00FB2F5A" w:rsidRDefault="00FB2F5A" w:rsidP="00651319">
      <w:pPr>
        <w:spacing w:after="0" w:line="240" w:lineRule="auto"/>
      </w:pPr>
      <w:r>
        <w:separator/>
      </w:r>
    </w:p>
  </w:endnote>
  <w:endnote w:type="continuationSeparator" w:id="0">
    <w:p w14:paraId="0DD21944" w14:textId="77777777" w:rsidR="00FB2F5A" w:rsidRDefault="00FB2F5A" w:rsidP="0065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273D" w14:textId="77777777" w:rsidR="00C46E9C" w:rsidRDefault="00C46E9C" w:rsidP="00232547">
    <w:pPr>
      <w:pStyle w:val="Footer"/>
      <w:jc w:val="center"/>
      <w:rPr>
        <w:sz w:val="20"/>
      </w:rPr>
    </w:pPr>
  </w:p>
  <w:p w14:paraId="5E3322EE" w14:textId="1DEF50C3" w:rsidR="00232547" w:rsidRDefault="0072482C" w:rsidP="00232547">
    <w:pPr>
      <w:pStyle w:val="Footer"/>
      <w:jc w:val="center"/>
      <w:rPr>
        <w:sz w:val="20"/>
      </w:rPr>
    </w:pPr>
    <w:r w:rsidRPr="00232547">
      <w:rPr>
        <w:noProof/>
        <w:sz w:val="20"/>
      </w:rPr>
      <mc:AlternateContent>
        <mc:Choice Requires="wps">
          <w:drawing>
            <wp:anchor distT="0" distB="0" distL="114300" distR="114300" simplePos="0" relativeHeight="251657216" behindDoc="0" locked="0" layoutInCell="1" allowOverlap="1" wp14:anchorId="563FC5A7" wp14:editId="23B7972B">
              <wp:simplePos x="0" y="0"/>
              <wp:positionH relativeFrom="column">
                <wp:posOffset>2655900</wp:posOffset>
              </wp:positionH>
              <wp:positionV relativeFrom="paragraph">
                <wp:posOffset>60960</wp:posOffset>
              </wp:positionV>
              <wp:extent cx="52705" cy="45085"/>
              <wp:effectExtent l="3810" t="0" r="8255" b="8255"/>
              <wp:wrapNone/>
              <wp:docPr id="6" name="Hexagon 6"/>
              <wp:cNvGraphicFramePr/>
              <a:graphic xmlns:a="http://schemas.openxmlformats.org/drawingml/2006/main">
                <a:graphicData uri="http://schemas.microsoft.com/office/word/2010/wordprocessingShape">
                  <wps:wsp>
                    <wps:cNvSpPr/>
                    <wps:spPr>
                      <a:xfrm rot="5400000" flipV="1">
                        <a:off x="0" y="0"/>
                        <a:ext cx="52705" cy="45085"/>
                      </a:xfrm>
                      <a:prstGeom prst="hexagon">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6AE9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209.15pt;margin-top:4.8pt;width:4.15pt;height:3.55pt;rotation:-9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" adj="4619" fillcolor="#f37021" stroked="f" strokeweight="2pt"/>
          </w:pict>
        </mc:Fallback>
      </mc:AlternateContent>
    </w:r>
    <w:r w:rsidRPr="00232547">
      <w:rPr>
        <w:noProof/>
        <w:sz w:val="20"/>
      </w:rPr>
      <mc:AlternateContent>
        <mc:Choice Requires="wps">
          <w:drawing>
            <wp:anchor distT="0" distB="0" distL="114300" distR="114300" simplePos="0" relativeHeight="251661312" behindDoc="0" locked="0" layoutInCell="1" allowOverlap="1" wp14:anchorId="37E5A72B" wp14:editId="00FA0FBA">
              <wp:simplePos x="0" y="0"/>
              <wp:positionH relativeFrom="column">
                <wp:posOffset>3892220</wp:posOffset>
              </wp:positionH>
              <wp:positionV relativeFrom="paragraph">
                <wp:posOffset>57785</wp:posOffset>
              </wp:positionV>
              <wp:extent cx="52705" cy="45085"/>
              <wp:effectExtent l="3810" t="0" r="8255" b="8255"/>
              <wp:wrapNone/>
              <wp:docPr id="7" name="Hexagon 7"/>
              <wp:cNvGraphicFramePr/>
              <a:graphic xmlns:a="http://schemas.openxmlformats.org/drawingml/2006/main">
                <a:graphicData uri="http://schemas.microsoft.com/office/word/2010/wordprocessingShape">
                  <wps:wsp>
                    <wps:cNvSpPr/>
                    <wps:spPr>
                      <a:xfrm rot="5400000" flipV="1">
                        <a:off x="0" y="0"/>
                        <a:ext cx="52705" cy="45085"/>
                      </a:xfrm>
                      <a:prstGeom prst="hexagon">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ED61" id="Hexagon 7" o:spid="_x0000_s1026" type="#_x0000_t9" style="position:absolute;margin-left:306.45pt;margin-top:4.55pt;width:4.15pt;height:3.5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" adj="4619" fillcolor="#f37021" stroked="f" strokeweight="2pt"/>
          </w:pict>
        </mc:Fallback>
      </mc:AlternateContent>
    </w:r>
    <w:r w:rsidR="00C46E9C">
      <w:rPr>
        <w:sz w:val="20"/>
      </w:rPr>
      <w:t>N19W24200 Riverwood Dr., S</w:t>
    </w:r>
    <w:r w:rsidR="00232547" w:rsidRPr="00232547">
      <w:rPr>
        <w:sz w:val="20"/>
      </w:rPr>
      <w:t>uite 300     Waukesha, WI 5318</w:t>
    </w:r>
    <w:r w:rsidR="00B261F9">
      <w:rPr>
        <w:sz w:val="20"/>
      </w:rPr>
      <w:t>8</w:t>
    </w:r>
    <w:r w:rsidR="00232547" w:rsidRPr="00232547">
      <w:rPr>
        <w:sz w:val="20"/>
      </w:rPr>
      <w:t xml:space="preserve">     </w:t>
    </w:r>
    <w:r>
      <w:rPr>
        <w:sz w:val="20"/>
      </w:rPr>
      <w:t>www.</w:t>
    </w:r>
    <w:r w:rsidR="00232547" w:rsidRPr="00232547">
      <w:rPr>
        <w:sz w:val="20"/>
      </w:rPr>
      <w:t>CentroMotion.com</w:t>
    </w:r>
  </w:p>
  <w:p w14:paraId="6ACFE125" w14:textId="77777777" w:rsidR="00C46E9C" w:rsidRPr="00232547" w:rsidRDefault="00C46E9C" w:rsidP="00232547">
    <w:pPr>
      <w:pStyle w:val="Footer"/>
      <w:jc w:val="center"/>
      <w:rPr>
        <w:sz w:val="20"/>
      </w:rPr>
    </w:pPr>
  </w:p>
  <w:p w14:paraId="43FD3CBB" w14:textId="77777777" w:rsidR="00651319" w:rsidRDefault="00A76F7F" w:rsidP="00DE2281">
    <w:pPr>
      <w:pStyle w:val="Footer"/>
    </w:pPr>
    <w:r>
      <w:ptab w:relativeTo="margin" w:alignment="center" w:leader="none"/>
    </w:r>
    <w:r w:rsidR="00232547">
      <w:rPr>
        <w:noProof/>
      </w:rPr>
      <w:drawing>
        <wp:inline distT="0" distB="0" distL="0" distR="0" wp14:anchorId="5E0D0F23" wp14:editId="360AA0E9">
          <wp:extent cx="5943600" cy="310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108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49EE" w14:textId="77777777" w:rsidR="00FB2F5A" w:rsidRDefault="00FB2F5A" w:rsidP="00651319">
      <w:pPr>
        <w:spacing w:after="0" w:line="240" w:lineRule="auto"/>
      </w:pPr>
      <w:r>
        <w:separator/>
      </w:r>
    </w:p>
  </w:footnote>
  <w:footnote w:type="continuationSeparator" w:id="0">
    <w:p w14:paraId="2555073E" w14:textId="77777777" w:rsidR="00FB2F5A" w:rsidRDefault="00FB2F5A" w:rsidP="00651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3C28" w14:textId="77777777" w:rsidR="00651319" w:rsidRDefault="00935879" w:rsidP="00FB41E6">
    <w:pPr>
      <w:pStyle w:val="Header"/>
      <w:jc w:val="center"/>
    </w:pPr>
    <w:r>
      <w:rPr>
        <w:noProof/>
      </w:rPr>
      <w:drawing>
        <wp:inline distT="0" distB="0" distL="0" distR="0" wp14:anchorId="1A79BE96" wp14:editId="42A7F7AC">
          <wp:extent cx="2443480" cy="577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Motion-Letterhead-logo-for-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9119" cy="583913"/>
                  </a:xfrm>
                  <a:prstGeom prst="rect">
                    <a:avLst/>
                  </a:prstGeom>
                </pic:spPr>
              </pic:pic>
            </a:graphicData>
          </a:graphic>
        </wp:inline>
      </w:drawing>
    </w:r>
  </w:p>
  <w:p w14:paraId="0A639623" w14:textId="77777777" w:rsidR="00651319" w:rsidRDefault="00651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D45"/>
    <w:multiLevelType w:val="hybridMultilevel"/>
    <w:tmpl w:val="1528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81F95"/>
    <w:multiLevelType w:val="hybridMultilevel"/>
    <w:tmpl w:val="AE206F32"/>
    <w:lvl w:ilvl="0" w:tplc="2EF26BBC">
      <w:start w:val="1"/>
      <w:numFmt w:val="bullet"/>
      <w:lvlText w:val="•"/>
      <w:lvlJc w:val="left"/>
      <w:pPr>
        <w:tabs>
          <w:tab w:val="num" w:pos="720"/>
        </w:tabs>
        <w:ind w:left="720" w:hanging="360"/>
      </w:pPr>
      <w:rPr>
        <w:rFonts w:ascii="Times New Roman" w:hAnsi="Times New Roman" w:hint="default"/>
      </w:rPr>
    </w:lvl>
    <w:lvl w:ilvl="1" w:tplc="7644A7CA" w:tentative="1">
      <w:start w:val="1"/>
      <w:numFmt w:val="bullet"/>
      <w:lvlText w:val="•"/>
      <w:lvlJc w:val="left"/>
      <w:pPr>
        <w:tabs>
          <w:tab w:val="num" w:pos="1440"/>
        </w:tabs>
        <w:ind w:left="1440" w:hanging="360"/>
      </w:pPr>
      <w:rPr>
        <w:rFonts w:ascii="Times New Roman" w:hAnsi="Times New Roman" w:hint="default"/>
      </w:rPr>
    </w:lvl>
    <w:lvl w:ilvl="2" w:tplc="7904EC7C" w:tentative="1">
      <w:start w:val="1"/>
      <w:numFmt w:val="bullet"/>
      <w:lvlText w:val="•"/>
      <w:lvlJc w:val="left"/>
      <w:pPr>
        <w:tabs>
          <w:tab w:val="num" w:pos="2160"/>
        </w:tabs>
        <w:ind w:left="2160" w:hanging="360"/>
      </w:pPr>
      <w:rPr>
        <w:rFonts w:ascii="Times New Roman" w:hAnsi="Times New Roman" w:hint="default"/>
      </w:rPr>
    </w:lvl>
    <w:lvl w:ilvl="3" w:tplc="FE0EF524" w:tentative="1">
      <w:start w:val="1"/>
      <w:numFmt w:val="bullet"/>
      <w:lvlText w:val="•"/>
      <w:lvlJc w:val="left"/>
      <w:pPr>
        <w:tabs>
          <w:tab w:val="num" w:pos="2880"/>
        </w:tabs>
        <w:ind w:left="2880" w:hanging="360"/>
      </w:pPr>
      <w:rPr>
        <w:rFonts w:ascii="Times New Roman" w:hAnsi="Times New Roman" w:hint="default"/>
      </w:rPr>
    </w:lvl>
    <w:lvl w:ilvl="4" w:tplc="26B8AFA8" w:tentative="1">
      <w:start w:val="1"/>
      <w:numFmt w:val="bullet"/>
      <w:lvlText w:val="•"/>
      <w:lvlJc w:val="left"/>
      <w:pPr>
        <w:tabs>
          <w:tab w:val="num" w:pos="3600"/>
        </w:tabs>
        <w:ind w:left="3600" w:hanging="360"/>
      </w:pPr>
      <w:rPr>
        <w:rFonts w:ascii="Times New Roman" w:hAnsi="Times New Roman" w:hint="default"/>
      </w:rPr>
    </w:lvl>
    <w:lvl w:ilvl="5" w:tplc="417CBC1C" w:tentative="1">
      <w:start w:val="1"/>
      <w:numFmt w:val="bullet"/>
      <w:lvlText w:val="•"/>
      <w:lvlJc w:val="left"/>
      <w:pPr>
        <w:tabs>
          <w:tab w:val="num" w:pos="4320"/>
        </w:tabs>
        <w:ind w:left="4320" w:hanging="360"/>
      </w:pPr>
      <w:rPr>
        <w:rFonts w:ascii="Times New Roman" w:hAnsi="Times New Roman" w:hint="default"/>
      </w:rPr>
    </w:lvl>
    <w:lvl w:ilvl="6" w:tplc="30E073F0" w:tentative="1">
      <w:start w:val="1"/>
      <w:numFmt w:val="bullet"/>
      <w:lvlText w:val="•"/>
      <w:lvlJc w:val="left"/>
      <w:pPr>
        <w:tabs>
          <w:tab w:val="num" w:pos="5040"/>
        </w:tabs>
        <w:ind w:left="5040" w:hanging="360"/>
      </w:pPr>
      <w:rPr>
        <w:rFonts w:ascii="Times New Roman" w:hAnsi="Times New Roman" w:hint="default"/>
      </w:rPr>
    </w:lvl>
    <w:lvl w:ilvl="7" w:tplc="528662AA" w:tentative="1">
      <w:start w:val="1"/>
      <w:numFmt w:val="bullet"/>
      <w:lvlText w:val="•"/>
      <w:lvlJc w:val="left"/>
      <w:pPr>
        <w:tabs>
          <w:tab w:val="num" w:pos="5760"/>
        </w:tabs>
        <w:ind w:left="5760" w:hanging="360"/>
      </w:pPr>
      <w:rPr>
        <w:rFonts w:ascii="Times New Roman" w:hAnsi="Times New Roman" w:hint="default"/>
      </w:rPr>
    </w:lvl>
    <w:lvl w:ilvl="8" w:tplc="728A9A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7497D5C"/>
    <w:multiLevelType w:val="hybridMultilevel"/>
    <w:tmpl w:val="00F8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31736"/>
    <w:multiLevelType w:val="hybridMultilevel"/>
    <w:tmpl w:val="38BE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9"/>
    <w:rsid w:val="00001E62"/>
    <w:rsid w:val="0001607D"/>
    <w:rsid w:val="0001723E"/>
    <w:rsid w:val="000408CA"/>
    <w:rsid w:val="000409EE"/>
    <w:rsid w:val="000461E0"/>
    <w:rsid w:val="0005507D"/>
    <w:rsid w:val="00056645"/>
    <w:rsid w:val="00064003"/>
    <w:rsid w:val="000713DB"/>
    <w:rsid w:val="00071C4B"/>
    <w:rsid w:val="00071C8E"/>
    <w:rsid w:val="00072AE4"/>
    <w:rsid w:val="00075701"/>
    <w:rsid w:val="00084AE2"/>
    <w:rsid w:val="000A2CE1"/>
    <w:rsid w:val="000C6139"/>
    <w:rsid w:val="000D202A"/>
    <w:rsid w:val="000D5EF0"/>
    <w:rsid w:val="000D762B"/>
    <w:rsid w:val="000E7753"/>
    <w:rsid w:val="00110225"/>
    <w:rsid w:val="001139AB"/>
    <w:rsid w:val="00115EF7"/>
    <w:rsid w:val="00123961"/>
    <w:rsid w:val="00131993"/>
    <w:rsid w:val="001709AC"/>
    <w:rsid w:val="00174E73"/>
    <w:rsid w:val="00183AF3"/>
    <w:rsid w:val="00184652"/>
    <w:rsid w:val="001868E4"/>
    <w:rsid w:val="001928FC"/>
    <w:rsid w:val="001A17C3"/>
    <w:rsid w:val="001A63FB"/>
    <w:rsid w:val="001B01E3"/>
    <w:rsid w:val="001B4AA2"/>
    <w:rsid w:val="001B4B80"/>
    <w:rsid w:val="001B4ED0"/>
    <w:rsid w:val="001C2646"/>
    <w:rsid w:val="001C5D48"/>
    <w:rsid w:val="001D1C29"/>
    <w:rsid w:val="001D2526"/>
    <w:rsid w:val="001F18C4"/>
    <w:rsid w:val="001F375C"/>
    <w:rsid w:val="002179DC"/>
    <w:rsid w:val="00220D2C"/>
    <w:rsid w:val="002230F3"/>
    <w:rsid w:val="00224E7E"/>
    <w:rsid w:val="00226452"/>
    <w:rsid w:val="00232547"/>
    <w:rsid w:val="0024554B"/>
    <w:rsid w:val="00262BA8"/>
    <w:rsid w:val="0026415A"/>
    <w:rsid w:val="0026440D"/>
    <w:rsid w:val="002717E3"/>
    <w:rsid w:val="00276146"/>
    <w:rsid w:val="00276D93"/>
    <w:rsid w:val="00297849"/>
    <w:rsid w:val="00297DEB"/>
    <w:rsid w:val="002A4474"/>
    <w:rsid w:val="002A49B4"/>
    <w:rsid w:val="002B4BBA"/>
    <w:rsid w:val="002B5C99"/>
    <w:rsid w:val="002B5CD9"/>
    <w:rsid w:val="002B60DF"/>
    <w:rsid w:val="002E08FF"/>
    <w:rsid w:val="002E7F9B"/>
    <w:rsid w:val="00311DD2"/>
    <w:rsid w:val="00323C9E"/>
    <w:rsid w:val="00327F9C"/>
    <w:rsid w:val="00332ABE"/>
    <w:rsid w:val="00341576"/>
    <w:rsid w:val="00342B46"/>
    <w:rsid w:val="00347FBF"/>
    <w:rsid w:val="00351360"/>
    <w:rsid w:val="0035793F"/>
    <w:rsid w:val="003618C2"/>
    <w:rsid w:val="0037729B"/>
    <w:rsid w:val="0038331A"/>
    <w:rsid w:val="00394334"/>
    <w:rsid w:val="003A4208"/>
    <w:rsid w:val="003B0C0A"/>
    <w:rsid w:val="003B4B82"/>
    <w:rsid w:val="003D0CB3"/>
    <w:rsid w:val="003E6F8E"/>
    <w:rsid w:val="00402B6F"/>
    <w:rsid w:val="004064CE"/>
    <w:rsid w:val="0041181C"/>
    <w:rsid w:val="004355F9"/>
    <w:rsid w:val="00437B88"/>
    <w:rsid w:val="0044512B"/>
    <w:rsid w:val="004471FF"/>
    <w:rsid w:val="00457FF2"/>
    <w:rsid w:val="0048556C"/>
    <w:rsid w:val="00490692"/>
    <w:rsid w:val="004A02EE"/>
    <w:rsid w:val="004A4652"/>
    <w:rsid w:val="004A6310"/>
    <w:rsid w:val="004C22D1"/>
    <w:rsid w:val="004D0887"/>
    <w:rsid w:val="004D1365"/>
    <w:rsid w:val="004D4F8A"/>
    <w:rsid w:val="005051EE"/>
    <w:rsid w:val="0051746A"/>
    <w:rsid w:val="005336D8"/>
    <w:rsid w:val="00540180"/>
    <w:rsid w:val="00544594"/>
    <w:rsid w:val="0054634F"/>
    <w:rsid w:val="005467C3"/>
    <w:rsid w:val="00586F35"/>
    <w:rsid w:val="005A0AB7"/>
    <w:rsid w:val="005A5BED"/>
    <w:rsid w:val="005D6E46"/>
    <w:rsid w:val="005F1335"/>
    <w:rsid w:val="005F3B13"/>
    <w:rsid w:val="006036B0"/>
    <w:rsid w:val="0060751D"/>
    <w:rsid w:val="00610DD4"/>
    <w:rsid w:val="00611ABC"/>
    <w:rsid w:val="006160ED"/>
    <w:rsid w:val="00623E26"/>
    <w:rsid w:val="00627BB7"/>
    <w:rsid w:val="00633E35"/>
    <w:rsid w:val="00635128"/>
    <w:rsid w:val="00636055"/>
    <w:rsid w:val="00651319"/>
    <w:rsid w:val="006535BA"/>
    <w:rsid w:val="006666D7"/>
    <w:rsid w:val="00666F38"/>
    <w:rsid w:val="0067542C"/>
    <w:rsid w:val="00694C64"/>
    <w:rsid w:val="00694C83"/>
    <w:rsid w:val="006C54C0"/>
    <w:rsid w:val="006C5627"/>
    <w:rsid w:val="006D11BC"/>
    <w:rsid w:val="006D4FAA"/>
    <w:rsid w:val="007069F4"/>
    <w:rsid w:val="00711419"/>
    <w:rsid w:val="0071260A"/>
    <w:rsid w:val="0072482C"/>
    <w:rsid w:val="00732FD3"/>
    <w:rsid w:val="007332C2"/>
    <w:rsid w:val="0074030B"/>
    <w:rsid w:val="007421AD"/>
    <w:rsid w:val="00760968"/>
    <w:rsid w:val="0076322D"/>
    <w:rsid w:val="00764F6B"/>
    <w:rsid w:val="00784824"/>
    <w:rsid w:val="00787B76"/>
    <w:rsid w:val="007C726F"/>
    <w:rsid w:val="007D3D7C"/>
    <w:rsid w:val="007D3EF8"/>
    <w:rsid w:val="007D4550"/>
    <w:rsid w:val="007D65CE"/>
    <w:rsid w:val="007F4332"/>
    <w:rsid w:val="007F6D9B"/>
    <w:rsid w:val="008036DF"/>
    <w:rsid w:val="00821646"/>
    <w:rsid w:val="0082230E"/>
    <w:rsid w:val="008234ED"/>
    <w:rsid w:val="00834F64"/>
    <w:rsid w:val="00854F55"/>
    <w:rsid w:val="00862A8F"/>
    <w:rsid w:val="00893C71"/>
    <w:rsid w:val="008A4699"/>
    <w:rsid w:val="008D3ED2"/>
    <w:rsid w:val="008E2141"/>
    <w:rsid w:val="008E231F"/>
    <w:rsid w:val="008E5DD1"/>
    <w:rsid w:val="008F2A94"/>
    <w:rsid w:val="008F407B"/>
    <w:rsid w:val="009213F7"/>
    <w:rsid w:val="00935879"/>
    <w:rsid w:val="00950D8A"/>
    <w:rsid w:val="00952526"/>
    <w:rsid w:val="0095481C"/>
    <w:rsid w:val="00960819"/>
    <w:rsid w:val="00970927"/>
    <w:rsid w:val="00975272"/>
    <w:rsid w:val="00987C51"/>
    <w:rsid w:val="009A07A2"/>
    <w:rsid w:val="009A0B03"/>
    <w:rsid w:val="009A5103"/>
    <w:rsid w:val="009C4FA0"/>
    <w:rsid w:val="009C663A"/>
    <w:rsid w:val="009E3A20"/>
    <w:rsid w:val="009F7048"/>
    <w:rsid w:val="00A03D69"/>
    <w:rsid w:val="00A30668"/>
    <w:rsid w:val="00A40949"/>
    <w:rsid w:val="00A40D17"/>
    <w:rsid w:val="00A40DBD"/>
    <w:rsid w:val="00A42D26"/>
    <w:rsid w:val="00A62F33"/>
    <w:rsid w:val="00A63182"/>
    <w:rsid w:val="00A66AB1"/>
    <w:rsid w:val="00A71C5D"/>
    <w:rsid w:val="00A74916"/>
    <w:rsid w:val="00A76F7F"/>
    <w:rsid w:val="00A85239"/>
    <w:rsid w:val="00A86E7C"/>
    <w:rsid w:val="00A916B1"/>
    <w:rsid w:val="00AA46EB"/>
    <w:rsid w:val="00AA67DD"/>
    <w:rsid w:val="00AA79BD"/>
    <w:rsid w:val="00AB0716"/>
    <w:rsid w:val="00AB470E"/>
    <w:rsid w:val="00AD54CC"/>
    <w:rsid w:val="00AD619A"/>
    <w:rsid w:val="00AD7ABB"/>
    <w:rsid w:val="00AE5C03"/>
    <w:rsid w:val="00AF38AD"/>
    <w:rsid w:val="00AF4A15"/>
    <w:rsid w:val="00AF4CF0"/>
    <w:rsid w:val="00B02D5D"/>
    <w:rsid w:val="00B10DAE"/>
    <w:rsid w:val="00B2265C"/>
    <w:rsid w:val="00B25794"/>
    <w:rsid w:val="00B261F9"/>
    <w:rsid w:val="00B42933"/>
    <w:rsid w:val="00B54B04"/>
    <w:rsid w:val="00B64438"/>
    <w:rsid w:val="00B732C4"/>
    <w:rsid w:val="00B85E42"/>
    <w:rsid w:val="00B934EA"/>
    <w:rsid w:val="00B97FE8"/>
    <w:rsid w:val="00BA46EF"/>
    <w:rsid w:val="00BC77BB"/>
    <w:rsid w:val="00BD4DEB"/>
    <w:rsid w:val="00BE5802"/>
    <w:rsid w:val="00BF16B6"/>
    <w:rsid w:val="00BF2888"/>
    <w:rsid w:val="00C10924"/>
    <w:rsid w:val="00C11A92"/>
    <w:rsid w:val="00C3412B"/>
    <w:rsid w:val="00C46E9C"/>
    <w:rsid w:val="00C50F66"/>
    <w:rsid w:val="00C56981"/>
    <w:rsid w:val="00C5722F"/>
    <w:rsid w:val="00C572AF"/>
    <w:rsid w:val="00CA5DB7"/>
    <w:rsid w:val="00CC654B"/>
    <w:rsid w:val="00CC6D0D"/>
    <w:rsid w:val="00CF776F"/>
    <w:rsid w:val="00D00886"/>
    <w:rsid w:val="00D04D34"/>
    <w:rsid w:val="00D15951"/>
    <w:rsid w:val="00D20E7E"/>
    <w:rsid w:val="00D230E0"/>
    <w:rsid w:val="00D305FD"/>
    <w:rsid w:val="00D3205E"/>
    <w:rsid w:val="00D84AEF"/>
    <w:rsid w:val="00D87778"/>
    <w:rsid w:val="00D87868"/>
    <w:rsid w:val="00D91970"/>
    <w:rsid w:val="00D92BDA"/>
    <w:rsid w:val="00D968BB"/>
    <w:rsid w:val="00DB35CC"/>
    <w:rsid w:val="00DB4804"/>
    <w:rsid w:val="00DC2D6F"/>
    <w:rsid w:val="00DD0033"/>
    <w:rsid w:val="00DD3694"/>
    <w:rsid w:val="00DE0B7D"/>
    <w:rsid w:val="00DE10E3"/>
    <w:rsid w:val="00DE2281"/>
    <w:rsid w:val="00DE31B0"/>
    <w:rsid w:val="00DE6685"/>
    <w:rsid w:val="00E20975"/>
    <w:rsid w:val="00E31327"/>
    <w:rsid w:val="00E34ECC"/>
    <w:rsid w:val="00E3732F"/>
    <w:rsid w:val="00E43831"/>
    <w:rsid w:val="00E479CE"/>
    <w:rsid w:val="00E61745"/>
    <w:rsid w:val="00E651BF"/>
    <w:rsid w:val="00E674DA"/>
    <w:rsid w:val="00E70101"/>
    <w:rsid w:val="00E75A9C"/>
    <w:rsid w:val="00E819BB"/>
    <w:rsid w:val="00E95532"/>
    <w:rsid w:val="00E973CA"/>
    <w:rsid w:val="00EC057E"/>
    <w:rsid w:val="00EC361C"/>
    <w:rsid w:val="00ED5AEC"/>
    <w:rsid w:val="00EF1D52"/>
    <w:rsid w:val="00EF25E7"/>
    <w:rsid w:val="00EF38A4"/>
    <w:rsid w:val="00F16DC5"/>
    <w:rsid w:val="00F2518E"/>
    <w:rsid w:val="00F3518F"/>
    <w:rsid w:val="00F46EFB"/>
    <w:rsid w:val="00F640F6"/>
    <w:rsid w:val="00F66B10"/>
    <w:rsid w:val="00F80BE9"/>
    <w:rsid w:val="00F87576"/>
    <w:rsid w:val="00F9103C"/>
    <w:rsid w:val="00F91435"/>
    <w:rsid w:val="00FA3E4B"/>
    <w:rsid w:val="00FA59B6"/>
    <w:rsid w:val="00FA6C26"/>
    <w:rsid w:val="00FB2F5A"/>
    <w:rsid w:val="00FB41E6"/>
    <w:rsid w:val="00FB58FD"/>
    <w:rsid w:val="00FB74F1"/>
    <w:rsid w:val="00FC67ED"/>
    <w:rsid w:val="00FD4047"/>
    <w:rsid w:val="00FE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9D835"/>
  <w15:docId w15:val="{C01CBB39-19F4-4FB9-94B6-92319659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19"/>
  </w:style>
  <w:style w:type="paragraph" w:styleId="Footer">
    <w:name w:val="footer"/>
    <w:basedOn w:val="Normal"/>
    <w:link w:val="FooterChar"/>
    <w:uiPriority w:val="99"/>
    <w:unhideWhenUsed/>
    <w:rsid w:val="00651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319"/>
  </w:style>
  <w:style w:type="paragraph" w:styleId="BalloonText">
    <w:name w:val="Balloon Text"/>
    <w:basedOn w:val="Normal"/>
    <w:link w:val="BalloonTextChar"/>
    <w:uiPriority w:val="99"/>
    <w:semiHidden/>
    <w:unhideWhenUsed/>
    <w:rsid w:val="0065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19"/>
    <w:rPr>
      <w:rFonts w:ascii="Tahoma" w:hAnsi="Tahoma" w:cs="Tahoma"/>
      <w:sz w:val="16"/>
      <w:szCs w:val="16"/>
    </w:rPr>
  </w:style>
  <w:style w:type="table" w:styleId="LightList-Accent6">
    <w:name w:val="Light List Accent 6"/>
    <w:basedOn w:val="TableNormal"/>
    <w:uiPriority w:val="61"/>
    <w:rsid w:val="004D136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6">
    <w:name w:val="Medium Grid 3 Accent 6"/>
    <w:basedOn w:val="TableNormal"/>
    <w:uiPriority w:val="69"/>
    <w:rsid w:val="004D1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Hyperlink">
    <w:name w:val="Hyperlink"/>
    <w:basedOn w:val="DefaultParagraphFont"/>
    <w:uiPriority w:val="99"/>
    <w:unhideWhenUsed/>
    <w:rsid w:val="0060751D"/>
    <w:rPr>
      <w:color w:val="0000FF" w:themeColor="hyperlink"/>
      <w:u w:val="single"/>
    </w:rPr>
  </w:style>
  <w:style w:type="character" w:styleId="UnresolvedMention">
    <w:name w:val="Unresolved Mention"/>
    <w:basedOn w:val="DefaultParagraphFont"/>
    <w:uiPriority w:val="99"/>
    <w:semiHidden/>
    <w:unhideWhenUsed/>
    <w:rsid w:val="00220D2C"/>
    <w:rPr>
      <w:color w:val="605E5C"/>
      <w:shd w:val="clear" w:color="auto" w:fill="E1DFDD"/>
    </w:rPr>
  </w:style>
  <w:style w:type="paragraph" w:styleId="ListParagraph">
    <w:name w:val="List Paragraph"/>
    <w:basedOn w:val="Normal"/>
    <w:uiPriority w:val="34"/>
    <w:qFormat/>
    <w:rsid w:val="006D4FAA"/>
    <w:pPr>
      <w:ind w:left="720"/>
      <w:contextualSpacing/>
    </w:pPr>
    <w:rPr>
      <w:rFonts w:ascii="Calibri" w:eastAsia="Calibri" w:hAnsi="Calibri" w:cs="Times New Roman"/>
    </w:rPr>
  </w:style>
  <w:style w:type="paragraph" w:styleId="NormalWeb">
    <w:name w:val="Normal (Web)"/>
    <w:basedOn w:val="Normal"/>
    <w:uiPriority w:val="99"/>
    <w:semiHidden/>
    <w:unhideWhenUsed/>
    <w:rsid w:val="00FC6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30E"/>
    <w:rPr>
      <w:b/>
      <w:bCs/>
    </w:rPr>
  </w:style>
  <w:style w:type="paragraph" w:styleId="Revision">
    <w:name w:val="Revision"/>
    <w:hidden/>
    <w:uiPriority w:val="99"/>
    <w:semiHidden/>
    <w:rsid w:val="00FE0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917">
      <w:bodyDiv w:val="1"/>
      <w:marLeft w:val="0"/>
      <w:marRight w:val="0"/>
      <w:marTop w:val="0"/>
      <w:marBottom w:val="0"/>
      <w:divBdr>
        <w:top w:val="none" w:sz="0" w:space="0" w:color="auto"/>
        <w:left w:val="none" w:sz="0" w:space="0" w:color="auto"/>
        <w:bottom w:val="none" w:sz="0" w:space="0" w:color="auto"/>
        <w:right w:val="none" w:sz="0" w:space="0" w:color="auto"/>
      </w:divBdr>
    </w:div>
    <w:div w:id="340550513">
      <w:bodyDiv w:val="1"/>
      <w:marLeft w:val="0"/>
      <w:marRight w:val="0"/>
      <w:marTop w:val="0"/>
      <w:marBottom w:val="0"/>
      <w:divBdr>
        <w:top w:val="none" w:sz="0" w:space="0" w:color="auto"/>
        <w:left w:val="none" w:sz="0" w:space="0" w:color="auto"/>
        <w:bottom w:val="none" w:sz="0" w:space="0" w:color="auto"/>
        <w:right w:val="none" w:sz="0" w:space="0" w:color="auto"/>
      </w:divBdr>
    </w:div>
    <w:div w:id="1255819329">
      <w:bodyDiv w:val="1"/>
      <w:marLeft w:val="0"/>
      <w:marRight w:val="0"/>
      <w:marTop w:val="0"/>
      <w:marBottom w:val="0"/>
      <w:divBdr>
        <w:top w:val="none" w:sz="0" w:space="0" w:color="auto"/>
        <w:left w:val="none" w:sz="0" w:space="0" w:color="auto"/>
        <w:bottom w:val="none" w:sz="0" w:space="0" w:color="auto"/>
        <w:right w:val="none" w:sz="0" w:space="0" w:color="auto"/>
      </w:divBdr>
    </w:div>
    <w:div w:id="1849826299">
      <w:bodyDiv w:val="1"/>
      <w:marLeft w:val="0"/>
      <w:marRight w:val="0"/>
      <w:marTop w:val="0"/>
      <w:marBottom w:val="0"/>
      <w:divBdr>
        <w:top w:val="none" w:sz="0" w:space="0" w:color="auto"/>
        <w:left w:val="none" w:sz="0" w:space="0" w:color="auto"/>
        <w:bottom w:val="none" w:sz="0" w:space="0" w:color="auto"/>
        <w:right w:val="none" w:sz="0" w:space="0" w:color="auto"/>
      </w:divBdr>
    </w:div>
    <w:div w:id="2009748686">
      <w:bodyDiv w:val="1"/>
      <w:marLeft w:val="0"/>
      <w:marRight w:val="0"/>
      <w:marTop w:val="0"/>
      <w:marBottom w:val="0"/>
      <w:divBdr>
        <w:top w:val="none" w:sz="0" w:space="0" w:color="auto"/>
        <w:left w:val="none" w:sz="0" w:space="0" w:color="auto"/>
        <w:bottom w:val="none" w:sz="0" w:space="0" w:color="auto"/>
        <w:right w:val="none" w:sz="0" w:space="0" w:color="auto"/>
      </w:divBdr>
      <w:divsChild>
        <w:div w:id="93213809">
          <w:marLeft w:val="547"/>
          <w:marRight w:val="0"/>
          <w:marTop w:val="0"/>
          <w:marBottom w:val="0"/>
          <w:divBdr>
            <w:top w:val="none" w:sz="0" w:space="0" w:color="auto"/>
            <w:left w:val="none" w:sz="0" w:space="0" w:color="auto"/>
            <w:bottom w:val="none" w:sz="0" w:space="0" w:color="auto"/>
            <w:right w:val="none" w:sz="0" w:space="0" w:color="auto"/>
          </w:divBdr>
        </w:div>
        <w:div w:id="17570900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EBDBDFFBEC4640A648E1782E003950" ma:contentTypeVersion="10" ma:contentTypeDescription="Create a new document." ma:contentTypeScope="" ma:versionID="198a63903c218416f91b49afa5620e48">
  <xsd:schema xmlns:xsd="http://www.w3.org/2001/XMLSchema" xmlns:xs="http://www.w3.org/2001/XMLSchema" xmlns:p="http://schemas.microsoft.com/office/2006/metadata/properties" xmlns:ns3="f0fa473f-c096-4a45-b159-4941f2f5dfb6" targetNamespace="http://schemas.microsoft.com/office/2006/metadata/properties" ma:root="true" ma:fieldsID="bf151502151d75ba16c0436a85ccd3da" ns3:_="">
    <xsd:import namespace="f0fa473f-c096-4a45-b159-4941f2f5df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a473f-c096-4a45-b159-4941f2f5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FB144-3702-4AA8-BF89-CF82F3A70472}">
  <ds:schemaRefs>
    <ds:schemaRef ds:uri="http://schemas.openxmlformats.org/officeDocument/2006/bibliography"/>
  </ds:schemaRefs>
</ds:datastoreItem>
</file>

<file path=customXml/itemProps2.xml><?xml version="1.0" encoding="utf-8"?>
<ds:datastoreItem xmlns:ds="http://schemas.openxmlformats.org/officeDocument/2006/customXml" ds:itemID="{7F05364B-82E3-4DB8-898B-7967FABEB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a473f-c096-4a45-b159-4941f2f5d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6E866-61E7-4491-8230-C6ECBDFD1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782B0D-281A-46E8-B318-00AA6B4C0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10278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 Krause</dc:creator>
  <cp:lastModifiedBy>Perschke, Elle</cp:lastModifiedBy>
  <cp:revision>2</cp:revision>
  <cp:lastPrinted>2021-10-12T18:04:00Z</cp:lastPrinted>
  <dcterms:created xsi:type="dcterms:W3CDTF">2021-12-21T13:05:00Z</dcterms:created>
  <dcterms:modified xsi:type="dcterms:W3CDTF">2021-12-21T13:05:00Z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0x01010057EBDBDFFBEC4640A648E1782E003950</vt:lpwstr>
  </property>
</Properties>
</file>